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1557" w:rsidR="00D94A6B" w:rsidP="00B660E6" w:rsidRDefault="00B660E6" w14:paraId="6B17EC1A" w14:textId="2BB44422">
      <w:pPr>
        <w:jc w:val="center"/>
        <w:rPr>
          <w:lang w:val="es-ES"/>
        </w:rPr>
      </w:pPr>
      <w:r w:rsidRPr="00611557">
        <w:rPr>
          <w:b/>
          <w:bCs/>
          <w:lang w:val="es-ES"/>
        </w:rPr>
        <w:t>Bases de postulación para Creación de asignaturas complementarias para pregrado 202</w:t>
      </w:r>
      <w:r w:rsidR="003336A9">
        <w:rPr>
          <w:b/>
          <w:bCs/>
          <w:lang w:val="es-ES"/>
        </w:rPr>
        <w:t>4</w:t>
      </w:r>
    </w:p>
    <w:p w:rsidRPr="00611557" w:rsidR="00D94A6B" w:rsidP="00DB6496" w:rsidRDefault="00D94A6B" w14:paraId="41855A81" w14:textId="3EA09537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11557">
        <w:rPr>
          <w:b/>
          <w:bCs/>
          <w:lang w:val="es-ES"/>
        </w:rPr>
        <w:t>Generalidades</w:t>
      </w:r>
    </w:p>
    <w:p w:rsidRPr="00611557" w:rsidR="00A71BE5" w:rsidP="00DB6496" w:rsidRDefault="00D94A6B" w14:paraId="26BA21F8" w14:textId="1647BA4C">
      <w:pPr>
        <w:jc w:val="both"/>
        <w:rPr>
          <w:lang w:val="es-ES"/>
        </w:rPr>
      </w:pPr>
      <w:r w:rsidRPr="00611557">
        <w:rPr>
          <w:lang w:val="es-ES"/>
        </w:rPr>
        <w:t xml:space="preserve">La Dirección de Docencia </w:t>
      </w:r>
      <w:r w:rsidRPr="00611557" w:rsidR="00B660E6">
        <w:rPr>
          <w:lang w:val="es-ES"/>
        </w:rPr>
        <w:t>pone a disposición del cuerpo académico recursos para la creación de asignaturas complementarias abiertas a todos los estudiantes de pregrado de la Universidad de Concepción con foco en las siguientes áreas: Innovación, responsabilidad social y responsabilidad medioambiental, declaradas como relevantes en el Plan Estratégico Institucional 2021-2030.</w:t>
      </w:r>
    </w:p>
    <w:p w:rsidRPr="00611557" w:rsidR="00DB6496" w:rsidP="00DB6496" w:rsidRDefault="00DB6496" w14:paraId="40BD9C51" w14:textId="56DB59DC">
      <w:pPr>
        <w:pStyle w:val="Prrafodelista"/>
        <w:numPr>
          <w:ilvl w:val="0"/>
          <w:numId w:val="1"/>
        </w:numPr>
        <w:jc w:val="both"/>
        <w:rPr>
          <w:b w:val="1"/>
          <w:bCs w:val="1"/>
          <w:lang w:val="es-ES"/>
        </w:rPr>
      </w:pPr>
      <w:r w:rsidRPr="2043F3E6" w:rsidR="00DB6496">
        <w:rPr>
          <w:b w:val="1"/>
          <w:bCs w:val="1"/>
          <w:lang w:val="es-ES"/>
        </w:rPr>
        <w:t>Convocatoria y período de postulación</w:t>
      </w:r>
    </w:p>
    <w:p w:rsidRPr="00611557" w:rsidR="00DB6496" w:rsidP="00DB6496" w:rsidRDefault="00B660E6" w14:paraId="04B04209" w14:textId="7117CE28">
      <w:pPr>
        <w:jc w:val="both"/>
        <w:rPr>
          <w:lang w:val="es-ES"/>
        </w:rPr>
      </w:pPr>
      <w:r w:rsidRPr="5536A682" w:rsidR="00B660E6">
        <w:rPr>
          <w:lang w:val="es-ES"/>
        </w:rPr>
        <w:t xml:space="preserve">La convocatoria se realizará en el mes de </w:t>
      </w:r>
      <w:r w:rsidRPr="5536A682" w:rsidR="00F36A09">
        <w:rPr>
          <w:lang w:val="es-ES"/>
        </w:rPr>
        <w:t>septiembre</w:t>
      </w:r>
      <w:r w:rsidRPr="5536A682" w:rsidR="00B660E6">
        <w:rPr>
          <w:lang w:val="es-ES"/>
        </w:rPr>
        <w:t xml:space="preserve"> 2023 y permanecerá abierta durante </w:t>
      </w:r>
      <w:r w:rsidRPr="5536A682" w:rsidR="00F36A09">
        <w:rPr>
          <w:lang w:val="es-ES"/>
        </w:rPr>
        <w:t>un</w:t>
      </w:r>
      <w:r w:rsidRPr="5536A682" w:rsidR="00B660E6">
        <w:rPr>
          <w:lang w:val="es-ES"/>
        </w:rPr>
        <w:t xml:space="preserve"> mes. Los proyectos tendrán una duración desde </w:t>
      </w:r>
      <w:r w:rsidRPr="5536A682" w:rsidR="00F36A09">
        <w:rPr>
          <w:lang w:val="es-ES"/>
        </w:rPr>
        <w:t>novie</w:t>
      </w:r>
      <w:r w:rsidRPr="5536A682" w:rsidR="00077B50">
        <w:rPr>
          <w:lang w:val="es-ES"/>
        </w:rPr>
        <w:t>mbre</w:t>
      </w:r>
      <w:r w:rsidRPr="5536A682" w:rsidR="00B660E6">
        <w:rPr>
          <w:lang w:val="es-ES"/>
        </w:rPr>
        <w:t xml:space="preserve"> del 2023 hasta </w:t>
      </w:r>
      <w:r w:rsidRPr="5536A682" w:rsidR="00882D26">
        <w:rPr>
          <w:lang w:val="es-ES"/>
        </w:rPr>
        <w:t>junio</w:t>
      </w:r>
      <w:r w:rsidRPr="5536A682" w:rsidR="00B660E6">
        <w:rPr>
          <w:lang w:val="es-ES"/>
        </w:rPr>
        <w:t xml:space="preserve"> de</w:t>
      </w:r>
      <w:r w:rsidRPr="5536A682" w:rsidR="00B660E6">
        <w:rPr>
          <w:lang w:val="es-ES"/>
        </w:rPr>
        <w:t xml:space="preserve"> </w:t>
      </w:r>
      <w:r w:rsidRPr="5536A682" w:rsidR="00B660E6">
        <w:rPr>
          <w:lang w:val="es-ES"/>
        </w:rPr>
        <w:t>202</w:t>
      </w:r>
      <w:r w:rsidRPr="5536A682" w:rsidR="75BC63C9">
        <w:rPr>
          <w:lang w:val="es-ES"/>
        </w:rPr>
        <w:t>4</w:t>
      </w:r>
      <w:r w:rsidRPr="5536A682" w:rsidR="00B660E6">
        <w:rPr>
          <w:lang w:val="es-ES"/>
        </w:rPr>
        <w:t xml:space="preserve">, contemplando la planificación </w:t>
      </w:r>
      <w:r w:rsidRPr="5536A682" w:rsidR="00D20C15">
        <w:rPr>
          <w:lang w:val="es-ES"/>
        </w:rPr>
        <w:t xml:space="preserve">de la asignatura entre </w:t>
      </w:r>
      <w:r w:rsidRPr="5536A682" w:rsidR="00882D26">
        <w:rPr>
          <w:lang w:val="es-ES"/>
        </w:rPr>
        <w:t>noviembre</w:t>
      </w:r>
      <w:r w:rsidRPr="5536A682" w:rsidR="00D20C15">
        <w:rPr>
          <w:lang w:val="es-ES"/>
        </w:rPr>
        <w:t xml:space="preserve"> 2023 y </w:t>
      </w:r>
      <w:r w:rsidRPr="5536A682" w:rsidR="00882D26">
        <w:rPr>
          <w:lang w:val="es-ES"/>
        </w:rPr>
        <w:t>enero</w:t>
      </w:r>
      <w:r w:rsidRPr="5536A682" w:rsidR="00D20C15">
        <w:rPr>
          <w:lang w:val="es-ES"/>
        </w:rPr>
        <w:t xml:space="preserve"> 202</w:t>
      </w:r>
      <w:r w:rsidRPr="5536A682" w:rsidR="00077B50">
        <w:rPr>
          <w:lang w:val="es-ES"/>
        </w:rPr>
        <w:t>4</w:t>
      </w:r>
      <w:r w:rsidRPr="5536A682" w:rsidR="1AC242A4">
        <w:rPr>
          <w:lang w:val="es-ES"/>
        </w:rPr>
        <w:t>,</w:t>
      </w:r>
      <w:r w:rsidRPr="5536A682" w:rsidR="00886F11">
        <w:rPr>
          <w:lang w:val="es-ES"/>
        </w:rPr>
        <w:t xml:space="preserve"> y</w:t>
      </w:r>
      <w:r w:rsidRPr="5536A682" w:rsidR="00D20C15">
        <w:rPr>
          <w:lang w:val="es-ES"/>
        </w:rPr>
        <w:t xml:space="preserve"> </w:t>
      </w:r>
      <w:r w:rsidRPr="5536A682" w:rsidR="00CA5041">
        <w:rPr>
          <w:lang w:val="es-ES"/>
        </w:rPr>
        <w:t xml:space="preserve">la </w:t>
      </w:r>
      <w:r w:rsidRPr="5536A682" w:rsidR="00B660E6">
        <w:rPr>
          <w:lang w:val="es-ES"/>
        </w:rPr>
        <w:t xml:space="preserve">implementación el </w:t>
      </w:r>
      <w:r w:rsidRPr="5536A682" w:rsidR="00077B50">
        <w:rPr>
          <w:lang w:val="es-ES"/>
        </w:rPr>
        <w:t>primer</w:t>
      </w:r>
      <w:r w:rsidRPr="5536A682" w:rsidR="00B660E6">
        <w:rPr>
          <w:lang w:val="es-ES"/>
        </w:rPr>
        <w:t xml:space="preserve"> semestre de 202</w:t>
      </w:r>
      <w:r w:rsidRPr="5536A682" w:rsidR="00077B50">
        <w:rPr>
          <w:lang w:val="es-ES"/>
        </w:rPr>
        <w:t>4</w:t>
      </w:r>
      <w:r w:rsidRPr="5536A682" w:rsidR="00B660E6">
        <w:rPr>
          <w:lang w:val="es-ES"/>
        </w:rPr>
        <w:t>.</w:t>
      </w:r>
    </w:p>
    <w:p w:rsidRPr="00611557" w:rsidR="00DB6496" w:rsidP="00DB6496" w:rsidRDefault="00DB6496" w14:paraId="103295B2" w14:textId="19F34589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11557">
        <w:rPr>
          <w:b/>
          <w:bCs/>
          <w:lang w:val="es-ES"/>
        </w:rPr>
        <w:t>Requisitos de postulación</w:t>
      </w:r>
    </w:p>
    <w:p w:rsidRPr="00611557" w:rsidR="00D20C15" w:rsidP="00D20C15" w:rsidRDefault="00D20C15" w14:paraId="24BF625A" w14:textId="77777777">
      <w:pPr>
        <w:pStyle w:val="Prrafodelista"/>
        <w:ind w:left="1080"/>
        <w:jc w:val="both"/>
        <w:rPr>
          <w:b/>
          <w:bCs/>
          <w:lang w:val="es-ES"/>
        </w:rPr>
      </w:pPr>
    </w:p>
    <w:p w:rsidRPr="00611557" w:rsidR="00D20C15" w:rsidP="00D20C15" w:rsidRDefault="00D20C15" w14:paraId="645581D4" w14:textId="3B11611A">
      <w:pPr>
        <w:pStyle w:val="Prrafodelista"/>
        <w:numPr>
          <w:ilvl w:val="0"/>
          <w:numId w:val="7"/>
        </w:numPr>
        <w:spacing w:before="240"/>
        <w:jc w:val="both"/>
        <w:rPr>
          <w:lang w:val="es-ES"/>
        </w:rPr>
      </w:pPr>
      <w:r w:rsidRPr="00611557">
        <w:rPr>
          <w:lang w:val="es-ES"/>
        </w:rPr>
        <w:t xml:space="preserve">Podrá postular cualquier docente con contrato indefinido, quien será responsable de la </w:t>
      </w:r>
      <w:r w:rsidRPr="00611557" w:rsidR="002A692B">
        <w:rPr>
          <w:lang w:val="es-ES"/>
        </w:rPr>
        <w:t>implementación</w:t>
      </w:r>
      <w:r w:rsidRPr="00611557" w:rsidR="00E87E69">
        <w:rPr>
          <w:lang w:val="es-ES"/>
        </w:rPr>
        <w:t xml:space="preserve"> de la asignatura complementaria</w:t>
      </w:r>
      <w:r w:rsidRPr="00611557">
        <w:rPr>
          <w:lang w:val="es-ES"/>
        </w:rPr>
        <w:t xml:space="preserve"> y del cumplimiento de las exigencias estipuladas en las bases.</w:t>
      </w:r>
    </w:p>
    <w:p w:rsidRPr="00611557" w:rsidR="00D20C15" w:rsidP="00D20C15" w:rsidRDefault="00D20C15" w14:paraId="096AC8E4" w14:textId="5AA22361">
      <w:pPr>
        <w:pStyle w:val="Prrafodelista"/>
        <w:numPr>
          <w:ilvl w:val="0"/>
          <w:numId w:val="7"/>
        </w:numPr>
        <w:spacing w:before="240"/>
        <w:jc w:val="both"/>
        <w:rPr>
          <w:lang w:val="es-ES"/>
        </w:rPr>
      </w:pPr>
      <w:r w:rsidRPr="00611557">
        <w:rPr>
          <w:lang w:val="es-ES"/>
        </w:rPr>
        <w:t xml:space="preserve">Podrá postular un grupo de docentes, considerando un docente responsable de la </w:t>
      </w:r>
      <w:r w:rsidRPr="00611557" w:rsidR="00E87E69">
        <w:rPr>
          <w:lang w:val="es-ES"/>
        </w:rPr>
        <w:t>asignatura complementaria</w:t>
      </w:r>
      <w:r w:rsidRPr="00611557">
        <w:rPr>
          <w:lang w:val="es-ES"/>
        </w:rPr>
        <w:t xml:space="preserve"> y del cumplimiento de las exigencias estipuladas en las bases. Este último debe tener contrato indefinido.</w:t>
      </w:r>
    </w:p>
    <w:p w:rsidRPr="00611557" w:rsidR="00D20C15" w:rsidP="00D20C15" w:rsidRDefault="00D20C15" w14:paraId="435B2E05" w14:textId="71F93EA4">
      <w:pPr>
        <w:pStyle w:val="Prrafodelista"/>
        <w:numPr>
          <w:ilvl w:val="0"/>
          <w:numId w:val="7"/>
        </w:numPr>
        <w:spacing w:before="240"/>
        <w:jc w:val="both"/>
        <w:rPr>
          <w:lang w:val="es-ES"/>
        </w:rPr>
      </w:pPr>
      <w:r w:rsidRPr="00611557">
        <w:rPr>
          <w:lang w:val="es-ES"/>
        </w:rPr>
        <w:t xml:space="preserve">La asignatura complementaria debe ser abierta a todas las carreras de la Universidad de Concepción. </w:t>
      </w:r>
    </w:p>
    <w:p w:rsidRPr="00611557" w:rsidR="00D20C15" w:rsidP="00D20C15" w:rsidRDefault="00D20C15" w14:paraId="62241CB5" w14:textId="4A118B4B">
      <w:pPr>
        <w:pStyle w:val="Prrafodelista"/>
        <w:numPr>
          <w:ilvl w:val="0"/>
          <w:numId w:val="7"/>
        </w:numPr>
        <w:spacing w:before="240"/>
        <w:jc w:val="both"/>
        <w:rPr>
          <w:lang w:val="es-ES"/>
        </w:rPr>
      </w:pPr>
      <w:r w:rsidRPr="00611557">
        <w:rPr>
          <w:lang w:val="es-ES"/>
        </w:rPr>
        <w:t>La participación en el proyecto deberá ser autorizada por el Director o la Directora del Departamento o de la unidad a la cual los/las docentes pertenecen a través de una carta de patrocinio firmad</w:t>
      </w:r>
      <w:r w:rsidRPr="00611557" w:rsidR="0045254F">
        <w:rPr>
          <w:lang w:val="es-ES"/>
        </w:rPr>
        <w:t>a y dirigida a Dirección de Docencia.</w:t>
      </w:r>
    </w:p>
    <w:p w:rsidRPr="00611557" w:rsidR="009156E7" w:rsidP="00D20C15" w:rsidRDefault="009156E7" w14:paraId="40DF3984" w14:textId="0C2F9780">
      <w:pPr>
        <w:pStyle w:val="Prrafodelista"/>
        <w:numPr>
          <w:ilvl w:val="0"/>
          <w:numId w:val="7"/>
        </w:numPr>
        <w:spacing w:before="240"/>
        <w:jc w:val="both"/>
        <w:rPr>
          <w:lang w:val="es-ES"/>
        </w:rPr>
      </w:pPr>
      <w:r w:rsidRPr="00611557">
        <w:rPr>
          <w:lang w:val="es-ES"/>
        </w:rPr>
        <w:t>La postulación deberá contemplar un</w:t>
      </w:r>
      <w:r w:rsidRPr="00611557" w:rsidR="00B34EC7">
        <w:rPr>
          <w:lang w:val="es-ES"/>
        </w:rPr>
        <w:t>a propuesta de plan de gastos.</w:t>
      </w:r>
    </w:p>
    <w:p w:rsidRPr="00611557" w:rsidR="001B6E5C" w:rsidP="001B6E5C" w:rsidRDefault="001B6E5C" w14:paraId="27D6A62E" w14:textId="77777777">
      <w:pPr>
        <w:pStyle w:val="Prrafodelista"/>
        <w:spacing w:before="240"/>
        <w:ind w:left="360"/>
        <w:jc w:val="both"/>
        <w:rPr>
          <w:lang w:val="es-ES"/>
        </w:rPr>
      </w:pPr>
    </w:p>
    <w:p w:rsidRPr="00611557" w:rsidR="00DB6496" w:rsidP="00DB6496" w:rsidRDefault="00DB6496" w14:paraId="294CBC4C" w14:textId="12BDCC3D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11557">
        <w:rPr>
          <w:b/>
          <w:bCs/>
          <w:lang w:val="es-ES"/>
        </w:rPr>
        <w:t>Postulación</w:t>
      </w:r>
    </w:p>
    <w:p w:rsidRPr="00611557" w:rsidR="005F4A92" w:rsidP="00CA5041" w:rsidRDefault="00DB6496" w14:paraId="4F03596D" w14:textId="6C4504A9">
      <w:pPr>
        <w:jc w:val="both"/>
        <w:rPr>
          <w:lang w:val="es-ES"/>
        </w:rPr>
      </w:pPr>
      <w:r w:rsidRPr="00611557">
        <w:rPr>
          <w:lang w:val="es-ES"/>
        </w:rPr>
        <w:t>La postulación se realizará a través del Formulario disponible en Teams dispuesto para estos fines</w:t>
      </w:r>
      <w:r w:rsidRPr="00611557" w:rsidR="00CA5041">
        <w:rPr>
          <w:lang w:val="es-ES"/>
        </w:rPr>
        <w:t>, incluyendo una carta de patrocinio del Director o Directora del Departamento o de la unidad a la cual el/la docente responsable de la propuesta pertenece</w:t>
      </w:r>
      <w:r w:rsidRPr="00611557" w:rsidR="00B34EC7">
        <w:rPr>
          <w:lang w:val="es-ES"/>
        </w:rPr>
        <w:t>.</w:t>
      </w:r>
    </w:p>
    <w:p w:rsidRPr="00611557" w:rsidR="00CA5041" w:rsidP="00CA5041" w:rsidRDefault="00CA5041" w14:paraId="57369CB0" w14:textId="77777777">
      <w:pPr>
        <w:jc w:val="both"/>
        <w:rPr>
          <w:lang w:val="es-ES"/>
        </w:rPr>
      </w:pPr>
      <w:r w:rsidRPr="00611557">
        <w:rPr>
          <w:lang w:val="es-ES"/>
        </w:rPr>
        <w:t>La información ingresada en el Formulario de Postulación y la contenida en los archivos adjuntos, es de exclusiva responsabilidad del equipo ejecutor que postula.</w:t>
      </w:r>
    </w:p>
    <w:p w:rsidRPr="00611557" w:rsidR="00CA5041" w:rsidP="00CA5041" w:rsidRDefault="00CA5041" w14:paraId="6525E553" w14:textId="77777777">
      <w:pPr>
        <w:jc w:val="both"/>
        <w:rPr>
          <w:lang w:val="es-ES"/>
        </w:rPr>
      </w:pPr>
      <w:r w:rsidRPr="00611557">
        <w:rPr>
          <w:lang w:val="es-ES"/>
        </w:rPr>
        <w:t>Serán consideradas en la evaluación, aquellas postulaciones que cumplan con todos los requisitos establecidos en las presentes bases y que no estén afectas a las restricciones mencionadas.</w:t>
      </w:r>
    </w:p>
    <w:p w:rsidRPr="00611557" w:rsidR="00CA5041" w:rsidP="00CA5041" w:rsidRDefault="00CA5041" w14:paraId="515105D9" w14:textId="47873F07">
      <w:pPr>
        <w:jc w:val="both"/>
        <w:rPr>
          <w:lang w:val="es-ES"/>
        </w:rPr>
      </w:pPr>
      <w:r w:rsidRPr="00611557">
        <w:rPr>
          <w:lang w:val="es-ES"/>
        </w:rPr>
        <w:t xml:space="preserve">Consultas deben dirigirse al correo </w:t>
      </w:r>
      <w:r w:rsidRPr="00611557" w:rsidR="00FD0F60">
        <w:rPr>
          <w:lang w:val="es-ES"/>
        </w:rPr>
        <w:t>earayaj@udec.cl</w:t>
      </w:r>
      <w:r w:rsidRPr="00611557">
        <w:rPr>
          <w:lang w:val="es-ES"/>
        </w:rPr>
        <w:t xml:space="preserve"> con asunto “Concurso asignaturas complementarias PEI”.</w:t>
      </w:r>
    </w:p>
    <w:p w:rsidRPr="00611557" w:rsidR="00D20C15" w:rsidP="00D20C15" w:rsidRDefault="00D20C15" w14:paraId="7EAB3119" w14:textId="6E8B5A8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11557">
        <w:rPr>
          <w:b/>
          <w:bCs/>
          <w:lang w:val="es-ES"/>
        </w:rPr>
        <w:t>Apoyo ofrecido</w:t>
      </w:r>
    </w:p>
    <w:p w:rsidRPr="00611557" w:rsidR="00D20C15" w:rsidP="00D20C15" w:rsidRDefault="00D20C15" w14:paraId="08879A60" w14:textId="77777777">
      <w:pPr>
        <w:jc w:val="both"/>
        <w:rPr>
          <w:lang w:val="es-ES"/>
        </w:rPr>
      </w:pPr>
      <w:r w:rsidRPr="00611557">
        <w:rPr>
          <w:lang w:val="es-ES"/>
        </w:rPr>
        <w:lastRenderedPageBreak/>
        <w:t>La adjudicación implica:</w:t>
      </w:r>
    </w:p>
    <w:p w:rsidRPr="00611557" w:rsidR="00D20C15" w:rsidP="00D20C15" w:rsidRDefault="00D20C15" w14:paraId="553A05F4" w14:textId="457557D5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611557">
        <w:rPr>
          <w:lang w:val="es-ES"/>
        </w:rPr>
        <w:t>Apoyo económico para el financiamiento de los recursos materiales y humanos que se requieran directamente para el desarrollo de</w:t>
      </w:r>
      <w:r w:rsidRPr="00611557" w:rsidR="00FD0F60">
        <w:rPr>
          <w:lang w:val="es-ES"/>
        </w:rPr>
        <w:t xml:space="preserve"> la asignatura</w:t>
      </w:r>
      <w:r w:rsidRPr="00611557">
        <w:rPr>
          <w:lang w:val="es-ES"/>
        </w:rPr>
        <w:t>, por un monto máximo de $1.000.000.-</w:t>
      </w:r>
    </w:p>
    <w:p w:rsidRPr="00611557" w:rsidR="00DB6496" w:rsidP="00DB6496" w:rsidRDefault="00D20C15" w14:paraId="539E38AB" w14:textId="766EB360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611557">
        <w:rPr>
          <w:lang w:val="es-ES"/>
        </w:rPr>
        <w:t>Declarar una dedicación horaria por un máximo de 3h semanales para el/la académico/a responsable y hasta 2h semanales para docentes colaboradores, durante el periodo de duración del proyecto.</w:t>
      </w:r>
    </w:p>
    <w:p w:rsidRPr="00611557" w:rsidR="00D20C15" w:rsidP="00D20C15" w:rsidRDefault="00D20C15" w14:paraId="58B9E28D" w14:textId="6E3523F8">
      <w:pPr>
        <w:pStyle w:val="Prrafodelista"/>
        <w:jc w:val="both"/>
        <w:rPr>
          <w:lang w:val="es-ES"/>
        </w:rPr>
      </w:pPr>
    </w:p>
    <w:p w:rsidRPr="00611557" w:rsidR="00D20C15" w:rsidP="00D20C15" w:rsidRDefault="00D20C15" w14:paraId="4DBB36C1" w14:textId="13214169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11557">
        <w:rPr>
          <w:b/>
          <w:bCs/>
          <w:lang w:val="es-ES"/>
        </w:rPr>
        <w:t>Gastos admisibles</w:t>
      </w:r>
    </w:p>
    <w:p w:rsidRPr="00611557" w:rsidR="00D20C15" w:rsidP="00D20C15" w:rsidRDefault="00D20C15" w14:paraId="41A5828B" w14:textId="77777777">
      <w:pPr>
        <w:pStyle w:val="Prrafodelista"/>
        <w:ind w:left="1080"/>
        <w:jc w:val="both"/>
        <w:rPr>
          <w:b/>
          <w:bCs/>
          <w:lang w:val="es-ES"/>
        </w:rPr>
      </w:pPr>
    </w:p>
    <w:p w:rsidRPr="00611557" w:rsidR="00D20C15" w:rsidP="00D20C15" w:rsidRDefault="00D20C15" w14:paraId="22305D23" w14:textId="77777777">
      <w:pPr>
        <w:pStyle w:val="Prrafodelista"/>
        <w:numPr>
          <w:ilvl w:val="0"/>
          <w:numId w:val="9"/>
        </w:numPr>
        <w:spacing w:before="240" w:after="120" w:line="276" w:lineRule="auto"/>
        <w:jc w:val="both"/>
        <w:rPr>
          <w:color w:val="000000" w:themeColor="text1"/>
          <w:lang w:val="es-ES"/>
        </w:rPr>
      </w:pPr>
      <w:r w:rsidRPr="00611557">
        <w:rPr>
          <w:b/>
          <w:bCs/>
          <w:color w:val="000000" w:themeColor="text1"/>
          <w:lang w:val="es-ES"/>
        </w:rPr>
        <w:t>Gastos en incentivos para ayudantes de pre o postgrado:</w:t>
      </w:r>
      <w:r w:rsidRPr="00611557">
        <w:rPr>
          <w:color w:val="000000" w:themeColor="text1"/>
          <w:lang w:val="es-ES"/>
        </w:rPr>
        <w:t xml:space="preserve"> De acuerdo con el siguiente tarifario</w:t>
      </w: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22"/>
        <w:gridCol w:w="2816"/>
        <w:gridCol w:w="2361"/>
      </w:tblGrid>
      <w:tr w:rsidRPr="00611557" w:rsidR="00D20C15" w:rsidTr="00E21544" w14:paraId="7F608652" w14:textId="77777777">
        <w:tc>
          <w:tcPr>
            <w:tcW w:w="2822" w:type="dxa"/>
          </w:tcPr>
          <w:p w:rsidRPr="00611557" w:rsidR="00D20C15" w:rsidP="00E21544" w:rsidRDefault="00D20C15" w14:paraId="3471C515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Ayudante</w:t>
            </w:r>
          </w:p>
        </w:tc>
        <w:tc>
          <w:tcPr>
            <w:tcW w:w="2816" w:type="dxa"/>
          </w:tcPr>
          <w:p w:rsidRPr="00611557" w:rsidR="00D20C15" w:rsidP="00E21544" w:rsidRDefault="00D20C15" w14:paraId="0BA28768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Monto máximo</w:t>
            </w:r>
          </w:p>
        </w:tc>
        <w:tc>
          <w:tcPr>
            <w:tcW w:w="2361" w:type="dxa"/>
          </w:tcPr>
          <w:p w:rsidRPr="00611557" w:rsidR="00D20C15" w:rsidP="00E21544" w:rsidRDefault="00D20C15" w14:paraId="75314CE9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Dedicación semanal</w:t>
            </w:r>
          </w:p>
        </w:tc>
      </w:tr>
      <w:tr w:rsidRPr="00611557" w:rsidR="00D20C15" w:rsidTr="00E21544" w14:paraId="53E43B51" w14:textId="77777777">
        <w:tc>
          <w:tcPr>
            <w:tcW w:w="2822" w:type="dxa"/>
          </w:tcPr>
          <w:p w:rsidRPr="00611557" w:rsidR="00D20C15" w:rsidP="00E21544" w:rsidRDefault="00D20C15" w14:paraId="350DE569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</w:rPr>
              <w:t>Pregrado</w:t>
            </w:r>
          </w:p>
        </w:tc>
        <w:tc>
          <w:tcPr>
            <w:tcW w:w="2816" w:type="dxa"/>
          </w:tcPr>
          <w:p w:rsidRPr="00611557" w:rsidR="00D20C15" w:rsidP="00E21544" w:rsidRDefault="00D20C15" w14:paraId="7126BD17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$40.000</w:t>
            </w:r>
          </w:p>
        </w:tc>
        <w:tc>
          <w:tcPr>
            <w:tcW w:w="2361" w:type="dxa"/>
          </w:tcPr>
          <w:p w:rsidRPr="00611557" w:rsidR="00D20C15" w:rsidP="00E21544" w:rsidRDefault="00D20C15" w14:paraId="76311449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2-4</w:t>
            </w:r>
          </w:p>
        </w:tc>
      </w:tr>
      <w:tr w:rsidRPr="00611557" w:rsidR="00D20C15" w:rsidTr="00E21544" w14:paraId="0515E127" w14:textId="77777777">
        <w:tc>
          <w:tcPr>
            <w:tcW w:w="2822" w:type="dxa"/>
          </w:tcPr>
          <w:p w:rsidRPr="00611557" w:rsidR="00D20C15" w:rsidP="00E21544" w:rsidRDefault="00D20C15" w14:paraId="75C46392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</w:rPr>
              <w:t>Postgrado</w:t>
            </w:r>
          </w:p>
        </w:tc>
        <w:tc>
          <w:tcPr>
            <w:tcW w:w="2816" w:type="dxa"/>
          </w:tcPr>
          <w:p w:rsidRPr="00611557" w:rsidR="00D20C15" w:rsidP="00E21544" w:rsidRDefault="00D20C15" w14:paraId="0A2CCD61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$60.000</w:t>
            </w:r>
          </w:p>
        </w:tc>
        <w:tc>
          <w:tcPr>
            <w:tcW w:w="2361" w:type="dxa"/>
          </w:tcPr>
          <w:p w:rsidRPr="00611557" w:rsidR="00D20C15" w:rsidP="00E21544" w:rsidRDefault="00D20C15" w14:paraId="73CFC718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2-4</w:t>
            </w:r>
          </w:p>
        </w:tc>
      </w:tr>
      <w:tr w:rsidRPr="00611557" w:rsidR="00D20C15" w:rsidTr="00E21544" w14:paraId="3AC0D61F" w14:textId="77777777">
        <w:tc>
          <w:tcPr>
            <w:tcW w:w="2822" w:type="dxa"/>
          </w:tcPr>
          <w:p w:rsidRPr="00611557" w:rsidR="00D20C15" w:rsidP="00E21544" w:rsidRDefault="00D20C15" w14:paraId="336B4B58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</w:rPr>
              <w:t>Postgrado</w:t>
            </w:r>
          </w:p>
        </w:tc>
        <w:tc>
          <w:tcPr>
            <w:tcW w:w="2816" w:type="dxa"/>
          </w:tcPr>
          <w:p w:rsidRPr="00611557" w:rsidR="00D20C15" w:rsidP="00E21544" w:rsidRDefault="00D20C15" w14:paraId="36362EF5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$120.000</w:t>
            </w:r>
          </w:p>
        </w:tc>
        <w:tc>
          <w:tcPr>
            <w:tcW w:w="2361" w:type="dxa"/>
          </w:tcPr>
          <w:p w:rsidRPr="00611557" w:rsidR="00D20C15" w:rsidP="00E21544" w:rsidRDefault="00D20C15" w14:paraId="57B44B7D" w14:textId="77777777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4-8</w:t>
            </w:r>
          </w:p>
        </w:tc>
      </w:tr>
    </w:tbl>
    <w:p w:rsidRPr="00611557" w:rsidR="00D20C15" w:rsidP="00611557" w:rsidRDefault="00D20C15" w14:paraId="12E349B1" w14:textId="77777777">
      <w:pPr>
        <w:spacing w:before="240"/>
        <w:rPr>
          <w:color w:val="000000" w:themeColor="text1"/>
          <w:lang w:val="es-ES"/>
        </w:rPr>
      </w:pPr>
      <w:r w:rsidRPr="00611557">
        <w:rPr>
          <w:color w:val="000000" w:themeColor="text1"/>
          <w:lang w:val="es-ES"/>
        </w:rPr>
        <w:t>* Los/a ayudantes deben ser alumnos/as regulares, debiendo el/la encargado/a del proyecto enviar la certificación correspondiente del semestre en curso.</w:t>
      </w:r>
    </w:p>
    <w:p w:rsidRPr="00611557" w:rsidR="00D20C15" w:rsidP="00D20C15" w:rsidRDefault="00D20C15" w14:paraId="348ECA64" w14:textId="77777777">
      <w:pPr>
        <w:pStyle w:val="Prrafodelista"/>
        <w:numPr>
          <w:ilvl w:val="0"/>
          <w:numId w:val="9"/>
        </w:numPr>
        <w:spacing w:after="120" w:line="264" w:lineRule="auto"/>
        <w:rPr>
          <w:shd w:val="clear" w:color="auto" w:fill="FFFFFF"/>
        </w:rPr>
      </w:pPr>
      <w:r w:rsidRPr="00611557">
        <w:rPr>
          <w:rFonts w:ascii="Calibri" w:hAnsi="Calibri" w:cs="Calibri"/>
          <w:b/>
          <w:bCs/>
          <w:color w:val="000000"/>
          <w:shd w:val="clear" w:color="auto" w:fill="FFFFFF"/>
        </w:rPr>
        <w:t>Gastos en personal de apoyo</w:t>
      </w:r>
      <w:r w:rsidRPr="00611557">
        <w:rPr>
          <w:rFonts w:ascii="Calibri" w:hAnsi="Calibri" w:cs="Calibri"/>
          <w:color w:val="000000"/>
          <w:shd w:val="clear" w:color="auto" w:fill="FFFFFF"/>
        </w:rPr>
        <w:t xml:space="preserve">: gastos correspondientes a honorarios de servicios técnicos u otros profesionales o especialistas. </w:t>
      </w:r>
    </w:p>
    <w:p w:rsidRPr="00611557" w:rsidR="00D20C15" w:rsidP="00D20C15" w:rsidRDefault="00D20C15" w14:paraId="64F735EB" w14:textId="3B60DB16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61155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Gastos de operación: </w:t>
      </w:r>
      <w:r w:rsidRPr="00611557">
        <w:rPr>
          <w:rFonts w:ascii="Calibri" w:hAnsi="Calibri" w:cs="Calibri"/>
          <w:color w:val="000000"/>
          <w:shd w:val="clear" w:color="auto" w:fill="FFFFFF"/>
        </w:rPr>
        <w:t>Se incluyen en este ítem los materiales fungibles, por ejemplo: webcam, micrófonos, audífonos, disco duro, pendrive, materiales de oficina, fotocopias, impresiones, el acceso o suscripción temporal de software.</w:t>
      </w:r>
    </w:p>
    <w:p w:rsidRPr="00611557" w:rsidR="00D20C15" w:rsidP="00D20C15" w:rsidRDefault="00D20C15" w14:paraId="7ADC5F2B" w14:textId="15B94641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color w:val="000000" w:themeColor="text1"/>
          <w:lang w:val="es-ES"/>
        </w:rPr>
      </w:pPr>
      <w:r w:rsidRPr="00611557">
        <w:rPr>
          <w:b/>
          <w:bCs/>
          <w:color w:val="000000" w:themeColor="text1"/>
          <w:lang w:val="es-ES"/>
        </w:rPr>
        <w:t xml:space="preserve">Gastos de Equipamiento: Se incluyen en este ítem </w:t>
      </w:r>
      <w:r w:rsidRPr="00611557">
        <w:rPr>
          <w:color w:val="000000" w:themeColor="text1"/>
          <w:lang w:val="es-ES"/>
        </w:rPr>
        <w:t>los bienes inventariables, por ejemplo: impresoras, mesas, sillas. Estos gastos no podrán ser por más del 50% del fondo y quedarán sujetos a la disponibilidad de fondos del proyecto. No se permitirá la compra de computadores.</w:t>
      </w:r>
    </w:p>
    <w:p w:rsidRPr="00611557" w:rsidR="00D20C15" w:rsidP="00CA5041" w:rsidRDefault="00D20C15" w14:paraId="5641C91A" w14:textId="05EF7585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color w:val="000000" w:themeColor="text1"/>
          <w:lang w:val="es-ES"/>
        </w:rPr>
      </w:pPr>
      <w:r w:rsidRPr="00611557">
        <w:rPr>
          <w:b/>
          <w:bCs/>
          <w:color w:val="000000" w:themeColor="text1"/>
          <w:lang w:val="es-ES"/>
        </w:rPr>
        <w:t>Gastos para la organización de talleres, cursos, charlas y seminarios</w:t>
      </w:r>
      <w:r w:rsidRPr="00611557">
        <w:rPr>
          <w:color w:val="000000" w:themeColor="text1"/>
          <w:lang w:val="es-ES"/>
        </w:rPr>
        <w:t xml:space="preserve">. Incluyendo su difusión y servicio de alimentación (por no más de 20% del fondo). </w:t>
      </w:r>
    </w:p>
    <w:p w:rsidRPr="00611557" w:rsidR="00524014" w:rsidP="00524014" w:rsidRDefault="00524014" w14:paraId="4E7C2ACF" w14:textId="77777777">
      <w:pPr>
        <w:pStyle w:val="Prrafodelista"/>
        <w:spacing w:after="120" w:line="276" w:lineRule="auto"/>
        <w:jc w:val="both"/>
        <w:rPr>
          <w:color w:val="000000" w:themeColor="text1"/>
          <w:lang w:val="es-ES"/>
        </w:rPr>
      </w:pPr>
    </w:p>
    <w:p w:rsidRPr="00611557" w:rsidR="00DB6496" w:rsidP="00DB6496" w:rsidRDefault="00D20C15" w14:paraId="6DC4AFC0" w14:textId="1D5087F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11557">
        <w:rPr>
          <w:b/>
          <w:bCs/>
          <w:lang w:val="es-ES"/>
        </w:rPr>
        <w:t>Evaluación</w:t>
      </w:r>
    </w:p>
    <w:p w:rsidRPr="00611557" w:rsidR="00D20C15" w:rsidP="001B6E5C" w:rsidRDefault="00FD04C7" w14:paraId="6F43D606" w14:textId="1689AEE1">
      <w:pPr>
        <w:spacing w:after="0" w:line="276" w:lineRule="auto"/>
        <w:jc w:val="both"/>
        <w:rPr>
          <w:color w:val="000000" w:themeColor="text1"/>
          <w:lang w:val="es-ES"/>
        </w:rPr>
      </w:pPr>
      <w:r w:rsidRPr="00611557">
        <w:rPr>
          <w:color w:val="000000" w:themeColor="text1"/>
        </w:rPr>
        <w:t>La evaluación de postulaciones la realizará una Comisión Especial, constituida para estos fines</w:t>
      </w:r>
      <w:r w:rsidRPr="00611557" w:rsidR="00D20C15">
        <w:rPr>
          <w:color w:val="000000" w:themeColor="text1"/>
        </w:rPr>
        <w:t>.</w:t>
      </w:r>
    </w:p>
    <w:p w:rsidRPr="00611557" w:rsidR="00D20C15" w:rsidP="001B6E5C" w:rsidRDefault="00D20C15" w14:paraId="187684EA" w14:textId="77777777">
      <w:pPr>
        <w:spacing w:after="0" w:line="276" w:lineRule="auto"/>
        <w:jc w:val="both"/>
        <w:rPr>
          <w:color w:val="000000" w:themeColor="text1"/>
          <w:highlight w:val="yellow"/>
          <w:lang w:val="es-ES"/>
        </w:rPr>
      </w:pPr>
      <w:r w:rsidRPr="00611557">
        <w:rPr>
          <w:color w:val="000000" w:themeColor="text1"/>
          <w:lang w:val="es-ES"/>
        </w:rPr>
        <w:t>La evaluación y la selección de los proyectos pasará por tres etapas:</w:t>
      </w:r>
    </w:p>
    <w:p w:rsidRPr="00611557" w:rsidR="00D20C15" w:rsidP="001B6E5C" w:rsidRDefault="00D20C15" w14:paraId="15D5CBAB" w14:textId="77777777">
      <w:pPr>
        <w:numPr>
          <w:ilvl w:val="1"/>
          <w:numId w:val="1"/>
        </w:numPr>
        <w:spacing w:after="0" w:line="276" w:lineRule="auto"/>
        <w:jc w:val="both"/>
        <w:rPr>
          <w:color w:val="000000" w:themeColor="text1"/>
        </w:rPr>
      </w:pPr>
      <w:r w:rsidRPr="00611557">
        <w:rPr>
          <w:color w:val="000000" w:themeColor="text1"/>
        </w:rPr>
        <w:t>Admisibilidad: Serán admisibles aquellos proyectos que contengan y cumplan con todos los requisitos exigibles en estas bases.</w:t>
      </w:r>
    </w:p>
    <w:p w:rsidRPr="00611557" w:rsidR="00D20C15" w:rsidP="001B6E5C" w:rsidRDefault="00D20C15" w14:paraId="45F31D9C" w14:textId="0691A950">
      <w:pPr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 w:rsidRPr="772900A5" w:rsidR="00D20C15">
        <w:rPr>
          <w:color w:val="000000" w:themeColor="text1" w:themeTint="FF" w:themeShade="FF"/>
        </w:rPr>
        <w:t>Evaluación: La evaluación de las propuestas será realizada por el Comité de evaluación de acuerdo con los siguientes criterios</w:t>
      </w:r>
      <w:r w:rsidRPr="772900A5" w:rsidR="00D20C15">
        <w:rPr>
          <w:color w:val="000000" w:themeColor="text1" w:themeTint="FF" w:themeShade="FF"/>
        </w:rPr>
        <w:t>:</w:t>
      </w:r>
    </w:p>
    <w:tbl>
      <w:tblPr>
        <w:tblW w:w="0" w:type="auto"/>
        <w:tblInd w:w="9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683"/>
      </w:tblGrid>
      <w:tr w:rsidRPr="00611557" w:rsidR="00D20C15" w:rsidTr="001B6E5C" w14:paraId="7F612E64" w14:textId="77777777">
        <w:trPr>
          <w:trHeight w:val="331"/>
        </w:trPr>
        <w:tc>
          <w:tcPr>
            <w:tcW w:w="6233" w:type="dxa"/>
          </w:tcPr>
          <w:p w:rsidRPr="00611557" w:rsidR="00D20C15" w:rsidP="001B6E5C" w:rsidRDefault="00D20C15" w14:paraId="1AC3D63F" w14:textId="77777777">
            <w:pPr>
              <w:spacing w:after="0" w:line="276" w:lineRule="auto"/>
              <w:rPr>
                <w:b/>
                <w:bCs/>
                <w:color w:val="000000" w:themeColor="text1"/>
                <w:lang w:val="es-ES"/>
              </w:rPr>
            </w:pPr>
            <w:r w:rsidRPr="00611557">
              <w:rPr>
                <w:b/>
                <w:bCs/>
                <w:color w:val="000000" w:themeColor="text1"/>
                <w:lang w:val="es-ES"/>
              </w:rPr>
              <w:t>Criterios</w:t>
            </w:r>
          </w:p>
        </w:tc>
        <w:tc>
          <w:tcPr>
            <w:tcW w:w="683" w:type="dxa"/>
          </w:tcPr>
          <w:p w:rsidRPr="00611557" w:rsidR="00D20C15" w:rsidP="001B6E5C" w:rsidRDefault="00D20C15" w14:paraId="65FEE9EE" w14:textId="77777777">
            <w:pPr>
              <w:spacing w:after="0" w:line="276" w:lineRule="auto"/>
              <w:rPr>
                <w:b/>
                <w:bCs/>
                <w:color w:val="000000" w:themeColor="text1"/>
                <w:lang w:val="es-ES"/>
              </w:rPr>
            </w:pPr>
            <w:r w:rsidRPr="00611557">
              <w:rPr>
                <w:b/>
                <w:bCs/>
                <w:color w:val="000000" w:themeColor="text1"/>
                <w:lang w:val="es-ES"/>
              </w:rPr>
              <w:t>%</w:t>
            </w:r>
          </w:p>
        </w:tc>
      </w:tr>
      <w:tr w:rsidRPr="00611557" w:rsidR="00D20C15" w:rsidTr="001B6E5C" w14:paraId="42193FA2" w14:textId="77777777">
        <w:trPr>
          <w:trHeight w:val="331"/>
        </w:trPr>
        <w:tc>
          <w:tcPr>
            <w:tcW w:w="6233" w:type="dxa"/>
          </w:tcPr>
          <w:p w:rsidRPr="00611557" w:rsidR="00D20C15" w:rsidP="001B6E5C" w:rsidRDefault="00D20C15" w14:paraId="4E3DB7DA" w14:textId="4DEA70BC">
            <w:pPr>
              <w:spacing w:after="0" w:line="276" w:lineRule="auto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Formulación del proyecto</w:t>
            </w:r>
            <w:r w:rsidRPr="00611557" w:rsidR="00036B77">
              <w:rPr>
                <w:color w:val="000000" w:themeColor="text1"/>
                <w:lang w:val="es-ES"/>
              </w:rPr>
              <w:t xml:space="preserve"> (asignatura complementaria)</w:t>
            </w:r>
          </w:p>
        </w:tc>
        <w:tc>
          <w:tcPr>
            <w:tcW w:w="683" w:type="dxa"/>
          </w:tcPr>
          <w:p w:rsidRPr="00611557" w:rsidR="00D20C15" w:rsidP="001B6E5C" w:rsidRDefault="0081067C" w14:paraId="30C2F40C" w14:textId="2353665C">
            <w:pPr>
              <w:spacing w:after="0" w:line="276" w:lineRule="auto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5</w:t>
            </w:r>
            <w:r w:rsidRPr="00611557" w:rsidR="00D20C15">
              <w:rPr>
                <w:color w:val="000000" w:themeColor="text1"/>
                <w:lang w:val="es-ES"/>
              </w:rPr>
              <w:t>0</w:t>
            </w:r>
          </w:p>
        </w:tc>
      </w:tr>
      <w:tr w:rsidRPr="00611557" w:rsidR="00D20C15" w:rsidTr="001B6E5C" w14:paraId="1DA45A02" w14:textId="77777777">
        <w:trPr>
          <w:trHeight w:val="407"/>
        </w:trPr>
        <w:tc>
          <w:tcPr>
            <w:tcW w:w="6233" w:type="dxa"/>
          </w:tcPr>
          <w:p w:rsidRPr="00611557" w:rsidR="00D20C15" w:rsidP="001B6E5C" w:rsidRDefault="00D20C15" w14:paraId="5DAB0A6F" w14:textId="3A343DBB">
            <w:pPr>
              <w:spacing w:after="0" w:line="276" w:lineRule="auto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 xml:space="preserve">Impacto en </w:t>
            </w:r>
            <w:r w:rsidRPr="00611557" w:rsidR="001B6E5C">
              <w:rPr>
                <w:color w:val="000000" w:themeColor="text1"/>
                <w:lang w:val="es-ES"/>
              </w:rPr>
              <w:t>área</w:t>
            </w:r>
            <w:r w:rsidRPr="00611557" w:rsidR="00222BA1">
              <w:rPr>
                <w:color w:val="000000" w:themeColor="text1"/>
                <w:lang w:val="es-ES"/>
              </w:rPr>
              <w:t xml:space="preserve"> enfocada</w:t>
            </w:r>
          </w:p>
        </w:tc>
        <w:tc>
          <w:tcPr>
            <w:tcW w:w="683" w:type="dxa"/>
          </w:tcPr>
          <w:p w:rsidRPr="00611557" w:rsidR="00D20C15" w:rsidP="001B6E5C" w:rsidRDefault="0081067C" w14:paraId="05BC2356" w14:textId="4FC7F422">
            <w:pPr>
              <w:spacing w:after="0" w:line="276" w:lineRule="auto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3</w:t>
            </w:r>
            <w:r w:rsidRPr="00611557" w:rsidR="00D20C15">
              <w:rPr>
                <w:color w:val="000000" w:themeColor="text1"/>
                <w:lang w:val="es-ES"/>
              </w:rPr>
              <w:t>0</w:t>
            </w:r>
          </w:p>
        </w:tc>
      </w:tr>
      <w:tr w:rsidRPr="00611557" w:rsidR="00D20C15" w:rsidTr="001B6E5C" w14:paraId="12A5E173" w14:textId="77777777">
        <w:trPr>
          <w:trHeight w:val="414"/>
        </w:trPr>
        <w:tc>
          <w:tcPr>
            <w:tcW w:w="6233" w:type="dxa"/>
          </w:tcPr>
          <w:p w:rsidRPr="00611557" w:rsidR="00D20C15" w:rsidP="001B6E5C" w:rsidRDefault="005F4A92" w14:paraId="451DC84E" w14:textId="2A2CAECB">
            <w:pPr>
              <w:spacing w:after="0" w:line="276" w:lineRule="auto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lastRenderedPageBreak/>
              <w:t>Sustentabilidad de la asignatura para poder implementarse en otros periodos.</w:t>
            </w:r>
          </w:p>
        </w:tc>
        <w:tc>
          <w:tcPr>
            <w:tcW w:w="683" w:type="dxa"/>
          </w:tcPr>
          <w:p w:rsidRPr="00611557" w:rsidR="00D20C15" w:rsidP="001B6E5C" w:rsidRDefault="0081067C" w14:paraId="229A406A" w14:textId="6AF51878">
            <w:pPr>
              <w:spacing w:after="0" w:line="276" w:lineRule="auto"/>
              <w:rPr>
                <w:color w:val="000000" w:themeColor="text1"/>
                <w:lang w:val="es-ES"/>
              </w:rPr>
            </w:pPr>
            <w:r w:rsidRPr="00611557">
              <w:rPr>
                <w:color w:val="000000" w:themeColor="text1"/>
                <w:lang w:val="es-ES"/>
              </w:rPr>
              <w:t>2</w:t>
            </w:r>
            <w:r w:rsidRPr="00611557" w:rsidR="00D20C15">
              <w:rPr>
                <w:color w:val="000000" w:themeColor="text1"/>
                <w:lang w:val="es-ES"/>
              </w:rPr>
              <w:t>0</w:t>
            </w:r>
          </w:p>
        </w:tc>
      </w:tr>
    </w:tbl>
    <w:p w:rsidRPr="00611557" w:rsidR="00D20C15" w:rsidP="001B6E5C" w:rsidRDefault="00D20C15" w14:paraId="00C6C270" w14:textId="77777777">
      <w:pPr>
        <w:pStyle w:val="Prrafodelista"/>
        <w:numPr>
          <w:ilvl w:val="1"/>
          <w:numId w:val="1"/>
        </w:numPr>
        <w:spacing w:before="240" w:after="0" w:line="276" w:lineRule="auto"/>
        <w:jc w:val="both"/>
        <w:rPr>
          <w:color w:val="000000" w:themeColor="text1"/>
        </w:rPr>
      </w:pPr>
      <w:r w:rsidRPr="00611557">
        <w:rPr>
          <w:color w:val="000000" w:themeColor="text1"/>
        </w:rPr>
        <w:t>Selección: Quedarán seleccionados aquellos proyectos que cumplan con las presentes bases y que posean los puntajes superiores en el ranking hasta completar el monto total disponible para el concurso.</w:t>
      </w:r>
    </w:p>
    <w:p w:rsidRPr="00611557" w:rsidR="008D2731" w:rsidP="008D2731" w:rsidRDefault="008D2731" w14:paraId="3AE2A5C9" w14:textId="6B39C2C5">
      <w:pPr>
        <w:jc w:val="both"/>
        <w:rPr>
          <w:lang w:val="es-ES"/>
        </w:rPr>
      </w:pPr>
    </w:p>
    <w:p w:rsidRPr="00611557" w:rsidR="00D20C15" w:rsidP="00222BA1" w:rsidRDefault="00222BA1" w14:paraId="6B48FBC1" w14:textId="20C29894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11557">
        <w:rPr>
          <w:b/>
          <w:bCs/>
          <w:lang w:val="es-ES"/>
        </w:rPr>
        <w:t>Otros aspectos para considerar</w:t>
      </w:r>
    </w:p>
    <w:p w:rsidRPr="00611557" w:rsidR="00222BA1" w:rsidP="00222BA1" w:rsidRDefault="00222BA1" w14:paraId="64643CAE" w14:textId="77777777">
      <w:pPr>
        <w:pStyle w:val="Prrafodelista"/>
        <w:ind w:left="1080"/>
        <w:jc w:val="both"/>
        <w:rPr>
          <w:b/>
          <w:bCs/>
          <w:lang w:val="es-ES"/>
        </w:rPr>
      </w:pPr>
    </w:p>
    <w:p w:rsidRPr="00611557" w:rsidR="00D20C15" w:rsidP="00222BA1" w:rsidRDefault="00D20C15" w14:paraId="69EF1013" w14:textId="77777777">
      <w:pPr>
        <w:pStyle w:val="Prrafodelista"/>
        <w:numPr>
          <w:ilvl w:val="0"/>
          <w:numId w:val="12"/>
        </w:numPr>
        <w:spacing w:before="240" w:after="120" w:line="264" w:lineRule="auto"/>
      </w:pPr>
      <w:r w:rsidRPr="00611557">
        <w:rPr>
          <w:color w:val="000000" w:themeColor="text1"/>
        </w:rPr>
        <w:t>La creación de la asignatura deberá seguir el procedimiento reglamentario definido en el anexo 1.</w:t>
      </w:r>
    </w:p>
    <w:p w:rsidRPr="00611557" w:rsidR="00BA3D71" w:rsidP="00BA3D71" w:rsidRDefault="00BA3D71" w14:paraId="48FCF116" w14:textId="77777777">
      <w:pPr>
        <w:pStyle w:val="Prrafodelista"/>
        <w:numPr>
          <w:ilvl w:val="0"/>
          <w:numId w:val="12"/>
        </w:numPr>
        <w:spacing w:before="240"/>
        <w:jc w:val="both"/>
        <w:rPr>
          <w:lang w:val="es-ES"/>
        </w:rPr>
      </w:pPr>
      <w:r w:rsidRPr="00611557">
        <w:rPr>
          <w:lang w:val="es-ES"/>
        </w:rPr>
        <w:t>La propuesta debe incorporar una estrategia y/o instrumento para levantar conocimientos previos (diagnóstico) y evaluar resultados al término de la asignatura (mismo instrumento).</w:t>
      </w:r>
    </w:p>
    <w:p w:rsidRPr="00611557" w:rsidR="0030128B" w:rsidP="00D20C15" w:rsidRDefault="00D20C15" w14:paraId="6BE02500" w14:textId="302596E4">
      <w:pPr>
        <w:pStyle w:val="Prrafodelista"/>
        <w:numPr>
          <w:ilvl w:val="0"/>
          <w:numId w:val="12"/>
        </w:numPr>
        <w:spacing w:after="120" w:line="264" w:lineRule="auto"/>
        <w:jc w:val="both"/>
      </w:pPr>
      <w:r w:rsidRPr="00611557">
        <w:t xml:space="preserve">El/la académico/a responsable deberá completar </w:t>
      </w:r>
      <w:r w:rsidRPr="00611557" w:rsidR="00036B77">
        <w:t>el programa de la asignatura</w:t>
      </w:r>
      <w:r w:rsidRPr="00611557">
        <w:t xml:space="preserve"> </w:t>
      </w:r>
      <w:r w:rsidRPr="00611557" w:rsidR="0030128B">
        <w:t>a más tardar en diciembre del</w:t>
      </w:r>
      <w:r w:rsidRPr="00611557">
        <w:t xml:space="preserve"> 202</w:t>
      </w:r>
      <w:r w:rsidRPr="00611557" w:rsidR="00222BA1">
        <w:t>3</w:t>
      </w:r>
      <w:r w:rsidRPr="00611557" w:rsidR="00CC4FA1">
        <w:t xml:space="preserve"> y el Syllabus e instrumento de evaluación de entrada y salida en enero 2024.</w:t>
      </w:r>
    </w:p>
    <w:p w:rsidRPr="00611557" w:rsidR="00D20C15" w:rsidP="00D20C15" w:rsidRDefault="00D20C15" w14:paraId="048277A9" w14:textId="77777777">
      <w:pPr>
        <w:pStyle w:val="Prrafodelista"/>
        <w:numPr>
          <w:ilvl w:val="0"/>
          <w:numId w:val="12"/>
        </w:numPr>
        <w:spacing w:after="120" w:line="264" w:lineRule="auto"/>
        <w:jc w:val="both"/>
      </w:pPr>
      <w:r w:rsidRPr="00611557">
        <w:rPr>
          <w:lang w:val="es-ES"/>
        </w:rPr>
        <w:t>No existirá incompatibilidad con otros proyectos de la Vicerrectoría de Investigación y Desarrollo, Dirección de Docencia o Dirección de Postgrado.</w:t>
      </w:r>
    </w:p>
    <w:p w:rsidRPr="00611557" w:rsidR="00D20C15" w:rsidP="00FD04C7" w:rsidRDefault="00D20C15" w14:paraId="1C3551AF" w14:textId="60F407DA">
      <w:pPr>
        <w:pStyle w:val="Prrafodelista"/>
        <w:numPr>
          <w:ilvl w:val="0"/>
          <w:numId w:val="12"/>
        </w:numPr>
        <w:spacing w:after="120" w:line="276" w:lineRule="auto"/>
        <w:jc w:val="both"/>
      </w:pPr>
      <w:r w:rsidRPr="00611557">
        <w:rPr>
          <w:color w:val="000000" w:themeColor="text1"/>
          <w:lang w:val="es-ES"/>
        </w:rPr>
        <w:t xml:space="preserve">La gestión financiera será realizada por profesionales </w:t>
      </w:r>
      <w:r w:rsidRPr="00611557" w:rsidR="00222BA1">
        <w:rPr>
          <w:color w:val="000000" w:themeColor="text1"/>
          <w:lang w:val="es-ES"/>
        </w:rPr>
        <w:t>de la Dirección de Docencia</w:t>
      </w:r>
      <w:r w:rsidRPr="00611557">
        <w:rPr>
          <w:color w:val="000000" w:themeColor="text1"/>
          <w:lang w:val="es-ES"/>
        </w:rPr>
        <w:t>, a quienes se deberán realizar solicitudes formales para concretar las compras en el marco de su plan de trabajo.</w:t>
      </w:r>
    </w:p>
    <w:p w:rsidRPr="00611557" w:rsidR="00D20C15" w:rsidP="00FD04C7" w:rsidRDefault="00D20C15" w14:paraId="448B5E65" w14:textId="0CDE1B6D">
      <w:pPr>
        <w:pStyle w:val="Prrafodelista"/>
        <w:numPr>
          <w:ilvl w:val="0"/>
          <w:numId w:val="12"/>
        </w:numPr>
        <w:spacing w:after="120" w:line="276" w:lineRule="auto"/>
        <w:jc w:val="both"/>
      </w:pPr>
      <w:r w:rsidRPr="00611557">
        <w:rPr>
          <w:color w:val="000000" w:themeColor="text1"/>
        </w:rPr>
        <w:t>Los gastos solicitados deben contemplarse al momento de postular, en el marco de los gastos elegibles. No podrán ser utilizados para financiar incentivos a los docentes participantes, no serán entregados en efectivo a los proyectos ni contemplar reembolsos de gastos.</w:t>
      </w:r>
    </w:p>
    <w:p w:rsidRPr="00611557" w:rsidR="00D20C15" w:rsidP="00FD04C7" w:rsidRDefault="00222BA1" w14:paraId="31B12EE5" w14:textId="730C2C0C">
      <w:pPr>
        <w:pStyle w:val="Prrafodelista"/>
        <w:numPr>
          <w:ilvl w:val="0"/>
          <w:numId w:val="12"/>
        </w:numPr>
        <w:spacing w:after="120" w:line="276" w:lineRule="auto"/>
        <w:jc w:val="both"/>
      </w:pPr>
      <w:r w:rsidRPr="00611557">
        <w:rPr>
          <w:color w:val="000000" w:themeColor="text1"/>
          <w:lang w:val="es-ES"/>
        </w:rPr>
        <w:t>La Dirección de Docencia</w:t>
      </w:r>
      <w:r w:rsidRPr="00611557" w:rsidR="00D20C15">
        <w:rPr>
          <w:color w:val="000000" w:themeColor="text1"/>
          <w:lang w:val="es-ES"/>
        </w:rPr>
        <w:t xml:space="preserve"> está facultad</w:t>
      </w:r>
      <w:r w:rsidRPr="00611557">
        <w:rPr>
          <w:color w:val="000000" w:themeColor="text1"/>
          <w:lang w:val="es-ES"/>
        </w:rPr>
        <w:t>a</w:t>
      </w:r>
      <w:r w:rsidRPr="00611557" w:rsidR="00D20C15">
        <w:rPr>
          <w:color w:val="000000" w:themeColor="text1"/>
          <w:lang w:val="es-ES"/>
        </w:rPr>
        <w:t xml:space="preserve"> para exigir la restitución parcial o total de los recursos asignados en caso de no cumplirse las obligaciones adquiridas por el responsable del proyecto.</w:t>
      </w:r>
    </w:p>
    <w:p w:rsidRPr="00611557" w:rsidR="00524014" w:rsidP="00FD04C7" w:rsidRDefault="00D20C15" w14:paraId="20980DBE" w14:textId="348924A2">
      <w:pPr>
        <w:pStyle w:val="Prrafodelista"/>
        <w:numPr>
          <w:ilvl w:val="0"/>
          <w:numId w:val="12"/>
        </w:numPr>
        <w:spacing w:after="120" w:line="276" w:lineRule="auto"/>
        <w:jc w:val="both"/>
        <w:rPr>
          <w:color w:val="000000" w:themeColor="text1"/>
          <w:lang w:val="es-ES"/>
        </w:rPr>
        <w:sectPr w:rsidRPr="00611557" w:rsidR="00524014">
          <w:headerReference w:type="default" r:id="rId10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611557">
        <w:rPr>
          <w:color w:val="000000" w:themeColor="text1"/>
          <w:lang w:val="es-ES"/>
        </w:rPr>
        <w:t xml:space="preserve">Todo material creado en el contexto de los fondos concursables deberá hacer referencia </w:t>
      </w:r>
      <w:r w:rsidRPr="00611557" w:rsidR="00222BA1">
        <w:rPr>
          <w:color w:val="000000" w:themeColor="text1"/>
          <w:lang w:val="es-ES"/>
        </w:rPr>
        <w:t xml:space="preserve">a la Dirección de Docencia </w:t>
      </w:r>
      <w:r w:rsidRPr="00611557">
        <w:rPr>
          <w:color w:val="000000" w:themeColor="text1"/>
          <w:lang w:val="es-ES"/>
        </w:rPr>
        <w:t>y quedarán disponibles para el uso de la Universidad de Concepción en otras asignatura</w:t>
      </w:r>
      <w:r w:rsidRPr="00611557" w:rsidR="00524014">
        <w:rPr>
          <w:color w:val="000000" w:themeColor="text1"/>
          <w:lang w:val="es-ES"/>
        </w:rPr>
        <w:t>s.</w:t>
      </w:r>
    </w:p>
    <w:p w:rsidRPr="00222BA1" w:rsidR="001B6E5C" w:rsidP="00222BA1" w:rsidRDefault="00222BA1" w14:paraId="793DC816" w14:textId="21830BC3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A</w:t>
      </w:r>
      <w:r w:rsidRPr="00222BA1">
        <w:rPr>
          <w:b/>
          <w:bCs/>
          <w:lang w:val="es-ES"/>
        </w:rPr>
        <w:t>nexos</w:t>
      </w:r>
    </w:p>
    <w:p w:rsidRPr="00222BA1" w:rsidR="001B6E5C" w:rsidP="001B6E5C" w:rsidRDefault="001B6E5C" w14:paraId="5231E728" w14:textId="77777777">
      <w:pPr>
        <w:spacing w:line="276" w:lineRule="auto"/>
        <w:jc w:val="both"/>
        <w:rPr>
          <w:b/>
          <w:bCs/>
          <w:color w:val="000000" w:themeColor="text1"/>
        </w:rPr>
      </w:pPr>
      <w:r w:rsidRPr="00222BA1">
        <w:rPr>
          <w:b/>
          <w:bCs/>
          <w:color w:val="000000" w:themeColor="text1"/>
        </w:rPr>
        <w:t>Anexo 1</w:t>
      </w:r>
    </w:p>
    <w:p w:rsidRPr="00222BA1" w:rsidR="001B6E5C" w:rsidP="001B6E5C" w:rsidRDefault="001B6E5C" w14:paraId="5F7DCA69" w14:textId="3B66EA6B">
      <w:pPr>
        <w:spacing w:line="276" w:lineRule="auto"/>
        <w:jc w:val="both"/>
        <w:rPr>
          <w:b/>
          <w:bCs/>
          <w:color w:val="000000" w:themeColor="text1"/>
        </w:rPr>
      </w:pPr>
      <w:r w:rsidRPr="00222BA1">
        <w:rPr>
          <w:b/>
          <w:bCs/>
          <w:color w:val="000000" w:themeColor="text1"/>
        </w:rPr>
        <w:t>Procedimiento para la creación de asignaturas complementarias de pregrado</w:t>
      </w:r>
    </w:p>
    <w:p w:rsidRPr="00222BA1" w:rsidR="001B6E5C" w:rsidP="001B6E5C" w:rsidRDefault="001B6E5C" w14:paraId="77CB1906" w14:textId="4BF59ABA">
      <w:pPr>
        <w:spacing w:line="276" w:lineRule="auto"/>
        <w:jc w:val="both"/>
        <w:rPr>
          <w:color w:val="000000" w:themeColor="text1"/>
        </w:rPr>
      </w:pPr>
      <w:r w:rsidRPr="00222BA1">
        <w:rPr>
          <w:color w:val="000000" w:themeColor="text1"/>
        </w:rPr>
        <w:t>Si la asignatura complementaria quedará adscrita a una Facultad o Escuela, el</w:t>
      </w:r>
      <w:r w:rsidR="0081067C">
        <w:rPr>
          <w:color w:val="000000" w:themeColor="text1"/>
        </w:rPr>
        <w:t>/la</w:t>
      </w:r>
      <w:r w:rsidRPr="00222BA1">
        <w:rPr>
          <w:color w:val="000000" w:themeColor="text1"/>
        </w:rPr>
        <w:t xml:space="preserve"> </w:t>
      </w:r>
      <w:r w:rsidR="0081067C">
        <w:rPr>
          <w:color w:val="000000" w:themeColor="text1"/>
        </w:rPr>
        <w:t>Director</w:t>
      </w:r>
      <w:r w:rsidRPr="00222BA1">
        <w:rPr>
          <w:color w:val="000000" w:themeColor="text1"/>
        </w:rPr>
        <w:t xml:space="preserve">/a de Departamento o Secretario/a Académico/a, según corresponda, deberá enviar el formulario disponible para tal fin a UDARAE, al correo </w:t>
      </w:r>
      <w:r w:rsidRPr="00222BA1">
        <w:rPr>
          <w:rFonts w:ascii="Calibri" w:hAnsi="Calibri" w:cs="Calibri"/>
          <w:color w:val="000000"/>
          <w:shd w:val="clear" w:color="auto" w:fill="FFFFFF"/>
        </w:rPr>
        <w:t> </w:t>
      </w:r>
      <w:hyperlink w:history="1" r:id="rId11">
        <w:r w:rsidRPr="00222BA1">
          <w:rPr>
            <w:rStyle w:val="Hipervnculo"/>
          </w:rPr>
          <w:t>udarae-registro@udec.cl</w:t>
        </w:r>
      </w:hyperlink>
      <w:r w:rsidRPr="00222BA1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222BA1">
        <w:rPr>
          <w:color w:val="000000" w:themeColor="text1"/>
        </w:rPr>
        <w:t>adjuntando el programa de asignatura.</w:t>
      </w:r>
    </w:p>
    <w:p w:rsidRPr="00222BA1" w:rsidR="001B6E5C" w:rsidP="001B6E5C" w:rsidRDefault="001B6E5C" w14:paraId="458BF730" w14:textId="77777777">
      <w:pPr>
        <w:spacing w:line="276" w:lineRule="auto"/>
        <w:jc w:val="both"/>
        <w:rPr>
          <w:color w:val="000000" w:themeColor="text1"/>
        </w:rPr>
      </w:pPr>
      <w:r w:rsidRPr="00222BA1">
        <w:rPr>
          <w:color w:val="000000" w:themeColor="text1"/>
        </w:rPr>
        <w:t>Si la asignatura complementaria quedará adscrita a la Dirección de Docencia, debe ser solicitada por el profesor encargado a la Directora de Docencia Dra. Carolyn Fernández al correo dirdoc@udec.cl, adjuntando el programa de asignatura, el que será revisado por la UnIDD previo al envío a UDARAE para ingreso el sistema.</w:t>
      </w:r>
    </w:p>
    <w:p w:rsidRPr="00222BA1" w:rsidR="001B6E5C" w:rsidP="001B6E5C" w:rsidRDefault="001B6E5C" w14:paraId="220DFCD1" w14:textId="77777777">
      <w:pPr>
        <w:spacing w:line="276" w:lineRule="auto"/>
        <w:jc w:val="both"/>
        <w:rPr>
          <w:color w:val="000000" w:themeColor="text1"/>
        </w:rPr>
      </w:pPr>
      <w:r w:rsidRPr="00222BA1">
        <w:rPr>
          <w:color w:val="000000" w:themeColor="text1"/>
        </w:rPr>
        <w:t>Las solicitudes, en todos los casos, deben acompañarse de una carta de cada uno de las/los Directoras/es de Departamento o Jefe/a directo/a del/la docente responsable y colaboradores/as, respaldando la participación en la asignatura y la carga académica asociada.</w:t>
      </w:r>
    </w:p>
    <w:p w:rsidRPr="00222BA1" w:rsidR="001B6E5C" w:rsidP="5536A682" w:rsidRDefault="001B6E5C" w14:paraId="2A146092" w14:textId="5DED69EC">
      <w:pPr>
        <w:spacing w:line="276" w:lineRule="auto"/>
        <w:jc w:val="both"/>
        <w:rPr>
          <w:color w:val="000000" w:themeColor="text1"/>
        </w:rPr>
      </w:pPr>
      <w:r w:rsidRPr="5536A682" w:rsidR="001B6E5C">
        <w:rPr>
          <w:color w:val="000000" w:themeColor="text1" w:themeTint="FF" w:themeShade="FF"/>
        </w:rPr>
        <w:t>Debe cautelar realizar e</w:t>
      </w:r>
      <w:r w:rsidRPr="5536A682" w:rsidR="1BBFC39C">
        <w:rPr>
          <w:color w:val="000000" w:themeColor="text1" w:themeTint="FF" w:themeShade="FF"/>
        </w:rPr>
        <w:t xml:space="preserve">ste </w:t>
      </w:r>
      <w:r w:rsidRPr="5536A682" w:rsidR="001B6E5C">
        <w:rPr>
          <w:color w:val="000000" w:themeColor="text1" w:themeTint="FF" w:themeShade="FF"/>
        </w:rPr>
        <w:t xml:space="preserve">procedimiento </w:t>
      </w:r>
      <w:r w:rsidRPr="5536A682" w:rsidR="386A630A">
        <w:rPr>
          <w:color w:val="000000" w:themeColor="text1" w:themeTint="FF" w:themeShade="FF"/>
        </w:rPr>
        <w:t xml:space="preserve">antes de </w:t>
      </w:r>
      <w:r w:rsidRPr="5536A682" w:rsidR="001B6E5C">
        <w:rPr>
          <w:color w:val="000000" w:themeColor="text1" w:themeTint="FF" w:themeShade="FF"/>
        </w:rPr>
        <w:t xml:space="preserve">la fecha de </w:t>
      </w:r>
      <w:r w:rsidRPr="5536A682" w:rsidR="35CFC8A5">
        <w:rPr>
          <w:color w:val="000000" w:themeColor="text1" w:themeTint="FF" w:themeShade="FF"/>
        </w:rPr>
        <w:t xml:space="preserve">registro de </w:t>
      </w:r>
      <w:r w:rsidRPr="5536A682" w:rsidR="001B6E5C">
        <w:rPr>
          <w:color w:val="000000" w:themeColor="text1" w:themeTint="FF" w:themeShade="FF"/>
        </w:rPr>
        <w:t>oferta de asignaturas para el primer semestre 202</w:t>
      </w:r>
      <w:r w:rsidRPr="5536A682" w:rsidR="003470BC">
        <w:rPr>
          <w:color w:val="000000" w:themeColor="text1" w:themeTint="FF" w:themeShade="FF"/>
        </w:rPr>
        <w:t>4</w:t>
      </w:r>
      <w:r w:rsidRPr="5536A682" w:rsidR="001B6E5C">
        <w:rPr>
          <w:color w:val="000000" w:themeColor="text1" w:themeTint="FF" w:themeShade="FF"/>
        </w:rPr>
        <w:t xml:space="preserve">, </w:t>
      </w:r>
      <w:r w:rsidRPr="5536A682" w:rsidR="2FFC5B9D">
        <w:rPr>
          <w:color w:val="000000" w:themeColor="text1" w:themeTint="FF" w:themeShade="FF"/>
        </w:rPr>
        <w:t>la cual está calendarizada entre</w:t>
      </w:r>
      <w:r w:rsidRPr="5536A682" w:rsidR="001B6E5C">
        <w:rPr>
          <w:color w:val="000000" w:themeColor="text1" w:themeTint="FF" w:themeShade="FF"/>
        </w:rPr>
        <w:t xml:space="preserve"> </w:t>
      </w:r>
      <w:r w:rsidRPr="5536A682" w:rsidR="7CBF9115">
        <w:rPr>
          <w:color w:val="000000" w:themeColor="text1" w:themeTint="FF" w:themeShade="FF"/>
        </w:rPr>
        <w:t xml:space="preserve">el </w:t>
      </w:r>
      <w:r w:rsidRPr="5536A682" w:rsidR="001B6E5C">
        <w:rPr>
          <w:color w:val="000000" w:themeColor="text1" w:themeTint="FF" w:themeShade="FF"/>
        </w:rPr>
        <w:t>1</w:t>
      </w:r>
      <w:r w:rsidRPr="5536A682" w:rsidR="008C290A">
        <w:rPr>
          <w:color w:val="000000" w:themeColor="text1" w:themeTint="FF" w:themeShade="FF"/>
        </w:rPr>
        <w:t>3</w:t>
      </w:r>
      <w:r w:rsidRPr="5536A682" w:rsidR="001B6E5C">
        <w:rPr>
          <w:color w:val="000000" w:themeColor="text1" w:themeTint="FF" w:themeShade="FF"/>
        </w:rPr>
        <w:t xml:space="preserve"> de noviembre</w:t>
      </w:r>
      <w:r w:rsidRPr="5536A682" w:rsidR="00836A98">
        <w:rPr>
          <w:color w:val="000000" w:themeColor="text1" w:themeTint="FF" w:themeShade="FF"/>
        </w:rPr>
        <w:t xml:space="preserve"> de 2023</w:t>
      </w:r>
      <w:r w:rsidRPr="5536A682" w:rsidR="001B6E5C">
        <w:rPr>
          <w:color w:val="000000" w:themeColor="text1" w:themeTint="FF" w:themeShade="FF"/>
        </w:rPr>
        <w:t xml:space="preserve"> </w:t>
      </w:r>
      <w:r w:rsidRPr="5536A682" w:rsidR="6944F4ED">
        <w:rPr>
          <w:color w:val="000000" w:themeColor="text1" w:themeTint="FF" w:themeShade="FF"/>
        </w:rPr>
        <w:t>y el</w:t>
      </w:r>
      <w:r w:rsidRPr="5536A682" w:rsidR="001B6E5C">
        <w:rPr>
          <w:color w:val="000000" w:themeColor="text1" w:themeTint="FF" w:themeShade="FF"/>
        </w:rPr>
        <w:t xml:space="preserve"> </w:t>
      </w:r>
      <w:r w:rsidRPr="5536A682" w:rsidR="00836A98">
        <w:rPr>
          <w:color w:val="000000" w:themeColor="text1" w:themeTint="FF" w:themeShade="FF"/>
        </w:rPr>
        <w:t>5</w:t>
      </w:r>
      <w:r w:rsidRPr="5536A682" w:rsidR="001B6E5C">
        <w:rPr>
          <w:color w:val="000000" w:themeColor="text1" w:themeTint="FF" w:themeShade="FF"/>
        </w:rPr>
        <w:t xml:space="preserve"> de </w:t>
      </w:r>
      <w:r w:rsidRPr="5536A682" w:rsidR="00836A98">
        <w:rPr>
          <w:color w:val="000000" w:themeColor="text1" w:themeTint="FF" w:themeShade="FF"/>
        </w:rPr>
        <w:t>enero de 2024</w:t>
      </w:r>
      <w:r w:rsidRPr="5536A682" w:rsidR="001B6E5C">
        <w:rPr>
          <w:color w:val="000000" w:themeColor="text1" w:themeTint="FF" w:themeShade="FF"/>
        </w:rPr>
        <w:t>.</w:t>
      </w:r>
    </w:p>
    <w:p w:rsidRPr="008D2731" w:rsidR="008D2731" w:rsidP="008D2731" w:rsidRDefault="008D2731" w14:paraId="4F4E41C9" w14:textId="77777777">
      <w:pPr>
        <w:jc w:val="both"/>
        <w:rPr>
          <w:lang w:val="es-ES"/>
        </w:rPr>
      </w:pPr>
    </w:p>
    <w:sectPr w:rsidRPr="008D2731" w:rsidR="008D273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6C43" w:rsidP="001839F6" w:rsidRDefault="00696C43" w14:paraId="355ACD9B" w14:textId="77777777">
      <w:pPr>
        <w:spacing w:after="0" w:line="240" w:lineRule="auto"/>
      </w:pPr>
      <w:r>
        <w:separator/>
      </w:r>
    </w:p>
  </w:endnote>
  <w:endnote w:type="continuationSeparator" w:id="0">
    <w:p w:rsidR="00696C43" w:rsidP="001839F6" w:rsidRDefault="00696C43" w14:paraId="31F506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6C43" w:rsidP="001839F6" w:rsidRDefault="00696C43" w14:paraId="04D5EA83" w14:textId="77777777">
      <w:pPr>
        <w:spacing w:after="0" w:line="240" w:lineRule="auto"/>
      </w:pPr>
      <w:r>
        <w:separator/>
      </w:r>
    </w:p>
  </w:footnote>
  <w:footnote w:type="continuationSeparator" w:id="0">
    <w:p w:rsidR="00696C43" w:rsidP="001839F6" w:rsidRDefault="00696C43" w14:paraId="119EBE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9F6" w:rsidRDefault="001839F6" w14:paraId="79D92399" w14:textId="53525C4A">
    <w:pPr>
      <w:pStyle w:val="Encabezado"/>
    </w:pPr>
    <w:r>
      <w:rPr>
        <w:noProof/>
      </w:rPr>
      <w:drawing>
        <wp:inline distT="0" distB="0" distL="0" distR="0" wp14:anchorId="6E4CA9CF" wp14:editId="03407A55">
          <wp:extent cx="2321169" cy="568496"/>
          <wp:effectExtent l="0" t="0" r="3175" b="3175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144" cy="57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B33" w:rsidRDefault="00B86B33" w14:paraId="19AB536F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9CB"/>
    <w:multiLevelType w:val="hybridMultilevel"/>
    <w:tmpl w:val="6D608E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2D4"/>
    <w:multiLevelType w:val="hybridMultilevel"/>
    <w:tmpl w:val="FEC43E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7C768B"/>
    <w:multiLevelType w:val="hybridMultilevel"/>
    <w:tmpl w:val="9E8E4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C5E"/>
    <w:multiLevelType w:val="hybridMultilevel"/>
    <w:tmpl w:val="BCE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D63027"/>
    <w:multiLevelType w:val="hybridMultilevel"/>
    <w:tmpl w:val="784089D4"/>
    <w:lvl w:ilvl="0" w:tplc="B590E3EC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72466D"/>
    <w:multiLevelType w:val="hybridMultilevel"/>
    <w:tmpl w:val="C23ABAB4"/>
    <w:lvl w:ilvl="0" w:tplc="3B86F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387D"/>
    <w:multiLevelType w:val="hybridMultilevel"/>
    <w:tmpl w:val="9A4E1344"/>
    <w:lvl w:ilvl="0" w:tplc="C720C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C391F"/>
    <w:multiLevelType w:val="hybridMultilevel"/>
    <w:tmpl w:val="865C0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0863"/>
    <w:multiLevelType w:val="hybridMultilevel"/>
    <w:tmpl w:val="F2A06C8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337B79"/>
    <w:multiLevelType w:val="hybridMultilevel"/>
    <w:tmpl w:val="599AFACA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DF45509"/>
    <w:multiLevelType w:val="hybridMultilevel"/>
    <w:tmpl w:val="97BC7690"/>
    <w:lvl w:ilvl="0" w:tplc="70969E0A">
      <w:start w:val="10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EE97D6D"/>
    <w:multiLevelType w:val="hybridMultilevel"/>
    <w:tmpl w:val="05DE79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0E705D"/>
    <w:multiLevelType w:val="hybridMultilevel"/>
    <w:tmpl w:val="7ACA196A"/>
    <w:lvl w:ilvl="0" w:tplc="2CECB37E">
      <w:start w:val="7"/>
      <w:numFmt w:val="decimal"/>
      <w:lvlText w:val="%1."/>
      <w:lvlJc w:val="left"/>
      <w:pPr>
        <w:ind w:left="789" w:hanging="246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u w:val="thick" w:color="000000"/>
        <w:lang w:val="es-ES" w:eastAsia="en-US" w:bidi="ar-SA"/>
      </w:rPr>
    </w:lvl>
    <w:lvl w:ilvl="1" w:tplc="3684DC6A">
      <w:start w:val="1"/>
      <w:numFmt w:val="decimal"/>
      <w:lvlText w:val="%2."/>
      <w:lvlJc w:val="left"/>
      <w:pPr>
        <w:ind w:left="1264" w:hanging="360"/>
      </w:pPr>
      <w:rPr>
        <w:rFonts w:ascii="Arial" w:hAnsi="Arial" w:cs="Arial" w:eastAsiaTheme="minorHAnsi"/>
        <w:spacing w:val="-25"/>
        <w:w w:val="95"/>
        <w:sz w:val="24"/>
        <w:szCs w:val="24"/>
        <w:lang w:val="es-ES" w:eastAsia="en-US" w:bidi="ar-SA"/>
      </w:rPr>
    </w:lvl>
    <w:lvl w:ilvl="2" w:tplc="0B482056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D646EC1A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4" w:tplc="53D0CFCA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01766B00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5010C774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7" w:tplc="5C2EA440">
      <w:numFmt w:val="bullet"/>
      <w:lvlText w:val="•"/>
      <w:lvlJc w:val="left"/>
      <w:pPr>
        <w:ind w:left="8100" w:hanging="360"/>
      </w:pPr>
      <w:rPr>
        <w:rFonts w:hint="default"/>
        <w:lang w:val="es-ES" w:eastAsia="en-US" w:bidi="ar-SA"/>
      </w:rPr>
    </w:lvl>
    <w:lvl w:ilvl="8" w:tplc="C48CC17A">
      <w:numFmt w:val="bullet"/>
      <w:lvlText w:val="•"/>
      <w:lvlJc w:val="left"/>
      <w:pPr>
        <w:ind w:left="9240" w:hanging="360"/>
      </w:pPr>
      <w:rPr>
        <w:rFonts w:hint="default"/>
        <w:lang w:val="es-ES" w:eastAsia="en-US" w:bidi="ar-SA"/>
      </w:rPr>
    </w:lvl>
  </w:abstractNum>
  <w:num w:numId="1" w16cid:durableId="1235045433">
    <w:abstractNumId w:val="6"/>
  </w:num>
  <w:num w:numId="2" w16cid:durableId="391655774">
    <w:abstractNumId w:val="3"/>
  </w:num>
  <w:num w:numId="3" w16cid:durableId="512106596">
    <w:abstractNumId w:val="4"/>
  </w:num>
  <w:num w:numId="4" w16cid:durableId="964191503">
    <w:abstractNumId w:val="11"/>
  </w:num>
  <w:num w:numId="5" w16cid:durableId="1113597557">
    <w:abstractNumId w:val="1"/>
  </w:num>
  <w:num w:numId="6" w16cid:durableId="1586374224">
    <w:abstractNumId w:val="10"/>
  </w:num>
  <w:num w:numId="7" w16cid:durableId="1073821777">
    <w:abstractNumId w:val="9"/>
  </w:num>
  <w:num w:numId="8" w16cid:durableId="1308317986">
    <w:abstractNumId w:val="8"/>
  </w:num>
  <w:num w:numId="9" w16cid:durableId="471756903">
    <w:abstractNumId w:val="0"/>
  </w:num>
  <w:num w:numId="10" w16cid:durableId="654381420">
    <w:abstractNumId w:val="12"/>
  </w:num>
  <w:num w:numId="11" w16cid:durableId="102504855">
    <w:abstractNumId w:val="2"/>
  </w:num>
  <w:num w:numId="12" w16cid:durableId="1587037696">
    <w:abstractNumId w:val="5"/>
  </w:num>
  <w:num w:numId="13" w16cid:durableId="1042709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6B"/>
    <w:rsid w:val="00036B77"/>
    <w:rsid w:val="00046A41"/>
    <w:rsid w:val="00077B50"/>
    <w:rsid w:val="00082189"/>
    <w:rsid w:val="000B28BB"/>
    <w:rsid w:val="001839F6"/>
    <w:rsid w:val="001B6E5C"/>
    <w:rsid w:val="001F113D"/>
    <w:rsid w:val="00222BA1"/>
    <w:rsid w:val="002A692B"/>
    <w:rsid w:val="002B5E20"/>
    <w:rsid w:val="0030128B"/>
    <w:rsid w:val="003336A9"/>
    <w:rsid w:val="003470BC"/>
    <w:rsid w:val="00410F0A"/>
    <w:rsid w:val="0045254F"/>
    <w:rsid w:val="0047158C"/>
    <w:rsid w:val="00524014"/>
    <w:rsid w:val="005416C5"/>
    <w:rsid w:val="005F4A92"/>
    <w:rsid w:val="00611557"/>
    <w:rsid w:val="006118CF"/>
    <w:rsid w:val="0061646D"/>
    <w:rsid w:val="00696C43"/>
    <w:rsid w:val="006F1E5C"/>
    <w:rsid w:val="00806881"/>
    <w:rsid w:val="0081067C"/>
    <w:rsid w:val="00836A98"/>
    <w:rsid w:val="00882D26"/>
    <w:rsid w:val="00886F11"/>
    <w:rsid w:val="008876A3"/>
    <w:rsid w:val="00887E0A"/>
    <w:rsid w:val="008C290A"/>
    <w:rsid w:val="008D2731"/>
    <w:rsid w:val="009156E7"/>
    <w:rsid w:val="00921523"/>
    <w:rsid w:val="009E4975"/>
    <w:rsid w:val="00A37621"/>
    <w:rsid w:val="00A553A6"/>
    <w:rsid w:val="00A71BE5"/>
    <w:rsid w:val="00AA676B"/>
    <w:rsid w:val="00AB298D"/>
    <w:rsid w:val="00AF44B5"/>
    <w:rsid w:val="00B34EC7"/>
    <w:rsid w:val="00B660E6"/>
    <w:rsid w:val="00B7174E"/>
    <w:rsid w:val="00B77083"/>
    <w:rsid w:val="00B86B33"/>
    <w:rsid w:val="00BA3D71"/>
    <w:rsid w:val="00BF6F6B"/>
    <w:rsid w:val="00C41110"/>
    <w:rsid w:val="00C746C4"/>
    <w:rsid w:val="00C94046"/>
    <w:rsid w:val="00CA5041"/>
    <w:rsid w:val="00CC4FA1"/>
    <w:rsid w:val="00CD4C68"/>
    <w:rsid w:val="00D20C15"/>
    <w:rsid w:val="00D84838"/>
    <w:rsid w:val="00D94A6B"/>
    <w:rsid w:val="00DB6496"/>
    <w:rsid w:val="00E87E69"/>
    <w:rsid w:val="00E93119"/>
    <w:rsid w:val="00EA1FEE"/>
    <w:rsid w:val="00EB2D7A"/>
    <w:rsid w:val="00EF7A3E"/>
    <w:rsid w:val="00F36A09"/>
    <w:rsid w:val="00F66FB6"/>
    <w:rsid w:val="00FD04C7"/>
    <w:rsid w:val="00FD0F60"/>
    <w:rsid w:val="00FE07A8"/>
    <w:rsid w:val="0D6A1171"/>
    <w:rsid w:val="1AC242A4"/>
    <w:rsid w:val="1BBFC39C"/>
    <w:rsid w:val="2043F3E6"/>
    <w:rsid w:val="2E0CE002"/>
    <w:rsid w:val="2E778749"/>
    <w:rsid w:val="2FFC5B9D"/>
    <w:rsid w:val="35CFC8A5"/>
    <w:rsid w:val="386A630A"/>
    <w:rsid w:val="4ADF8ACD"/>
    <w:rsid w:val="5536A682"/>
    <w:rsid w:val="62169C77"/>
    <w:rsid w:val="6944F4ED"/>
    <w:rsid w:val="6C421963"/>
    <w:rsid w:val="6DDDE9C4"/>
    <w:rsid w:val="72F8AFCB"/>
    <w:rsid w:val="75BC63C9"/>
    <w:rsid w:val="772900A5"/>
    <w:rsid w:val="79769C5B"/>
    <w:rsid w:val="7CBF9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E528"/>
  <w15:chartTrackingRefBased/>
  <w15:docId w15:val="{D33A413A-5458-4F6A-93DE-34381580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C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94A6B"/>
    <w:pPr>
      <w:ind w:left="720"/>
      <w:contextualSpacing/>
    </w:pPr>
  </w:style>
  <w:style w:type="table" w:styleId="Tablaconcuadrcula">
    <w:name w:val="Table Grid"/>
    <w:basedOn w:val="Tablanormal"/>
    <w:rsid w:val="00DB64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39F6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39F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839F6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839F6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9E4975"/>
    <w:rPr>
      <w:color w:val="0563C1" w:themeColor="hyperlink"/>
      <w:u w:val="single"/>
    </w:rPr>
  </w:style>
  <w:style w:type="character" w:styleId="PrrafodelistaCar" w:customStyle="1">
    <w:name w:val="Párrafo de lista Car"/>
    <w:link w:val="Prrafodelista"/>
    <w:uiPriority w:val="34"/>
    <w:rsid w:val="00D20C15"/>
    <w:rPr>
      <w:lang w:val="es-CL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1B6E5C"/>
    <w:pPr>
      <w:spacing w:after="0" w:line="240" w:lineRule="auto"/>
    </w:pPr>
    <w:rPr>
      <w:kern w:val="0"/>
      <w:sz w:val="24"/>
      <w:szCs w:val="24"/>
      <w:lang w:val="es-CL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udarae-registro@udec.cl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2370e5-0066-4512-98ce-2c5e7d501f00" xsi:nil="true"/>
    <lcf76f155ced4ddcb4097134ff3c332f xmlns="fa6f309c-cd1c-4862-9661-4019d9474e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0AC3CBD0BE7B47BBD29D0479B7F2FB" ma:contentTypeVersion="15" ma:contentTypeDescription="Crear nuevo documento." ma:contentTypeScope="" ma:versionID="4f18ac1e27ce87797afa4988e2bd5706">
  <xsd:schema xmlns:xsd="http://www.w3.org/2001/XMLSchema" xmlns:xs="http://www.w3.org/2001/XMLSchema" xmlns:p="http://schemas.microsoft.com/office/2006/metadata/properties" xmlns:ns2="fa6f309c-cd1c-4862-9661-4019d9474eab" xmlns:ns3="2b2370e5-0066-4512-98ce-2c5e7d501f00" targetNamespace="http://schemas.microsoft.com/office/2006/metadata/properties" ma:root="true" ma:fieldsID="9b57cf62e211b13a75bd8adb23ca1f5d" ns2:_="" ns3:_="">
    <xsd:import namespace="fa6f309c-cd1c-4862-9661-4019d9474eab"/>
    <xsd:import namespace="2b2370e5-0066-4512-98ce-2c5e7d501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309c-cd1c-4862-9661-4019d947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70e5-0066-4512-98ce-2c5e7d501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c982f49-9d33-4388-974b-f14bbc0ea550}" ma:internalName="TaxCatchAll" ma:showField="CatchAllData" ma:web="2b2370e5-0066-4512-98ce-2c5e7d501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D06C3-2072-4CB1-B1E7-C0A2DD3FDB1F}">
  <ds:schemaRefs>
    <ds:schemaRef ds:uri="http://schemas.microsoft.com/office/2006/metadata/properties"/>
    <ds:schemaRef ds:uri="http://schemas.microsoft.com/office/infopath/2007/PartnerControls"/>
    <ds:schemaRef ds:uri="2b2370e5-0066-4512-98ce-2c5e7d501f00"/>
    <ds:schemaRef ds:uri="fa6f309c-cd1c-4862-9661-4019d9474eab"/>
  </ds:schemaRefs>
</ds:datastoreItem>
</file>

<file path=customXml/itemProps2.xml><?xml version="1.0" encoding="utf-8"?>
<ds:datastoreItem xmlns:ds="http://schemas.openxmlformats.org/officeDocument/2006/customXml" ds:itemID="{98D53BF3-1120-4D4C-93B0-CF24AF7CC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2ABA9-1ABB-428A-814B-A41AF57A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309c-cd1c-4862-9661-4019d9474eab"/>
    <ds:schemaRef ds:uri="2b2370e5-0066-4512-98ce-2c5e7d501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Camila Francisca Espinoza Parcet</dc:creator>
  <keywords/>
  <dc:description/>
  <lastModifiedBy>Cristian Baudilio Pincheira Martinez</lastModifiedBy>
  <revision>40</revision>
  <dcterms:created xsi:type="dcterms:W3CDTF">2023-03-21T02:36:00.0000000Z</dcterms:created>
  <dcterms:modified xsi:type="dcterms:W3CDTF">2023-09-27T14:31:27.0974606Z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0x0101004E0AC3CBD0BE7B47BBD29D0479B7F2FB</vt:lpwstr>
  </property>
  <property fmtid="{D5CDD505-2E9C-101B-9397-08002B2CF9AE}" pid="3" name="MediaServiceImageTags">
    <vt:lpwstr/>
  </property>
</Properties>
</file>